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media/image1.wmf" ContentType="image/x-wmf"/>
  <Override PartName="/word/media/image2.wmf" ContentType="image/x-wmf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Типовые схемы контроля, регулирования, сигнализации, блокировки и защиты параметрами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технологического контроля</w:t>
      </w:r>
    </w:p>
    <w:p>
      <w:pPr>
        <w:pStyle w:val="NoSpacing"/>
        <w:ind w:hanging="0"/>
        <w:jc w:val="center"/>
        <w:rPr/>
      </w:pPr>
      <w:r>
        <w:rPr/>
      </w:r>
    </w:p>
    <w:p>
      <w:pPr>
        <w:pStyle w:val="NoSpacing"/>
        <w:ind w:hanging="0"/>
        <w:jc w:val="center"/>
        <w:rPr/>
      </w:pPr>
      <w:r>
        <w:rPr>
          <w:lang w:val="ru-RU"/>
        </w:rPr>
        <w:t>Практическ</w:t>
      </w:r>
      <w:r>
        <w:rPr/>
        <w:t>ое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2.3. Типовые схемы контроля, регулирования, сигнализации,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блокировки и защиты параметрами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  <w:r>
        <w:br w:type="page"/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Типовые схемы контроля, регулирования, сигнализации, блокировки и защиты параметрами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технологического контроля</w:t>
      </w:r>
    </w:p>
    <w:p>
      <w:pPr>
        <w:pStyle w:val="Normal"/>
        <w:widowControl w:val="false"/>
        <w:shd w:val="clear" w:color="auto" w:fill="FFFFFF"/>
        <w:spacing w:lineRule="auto" w:line="36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hd w:val="clear" w:color="auto" w:fill="FFFFFF"/>
        <w:suppressAutoHyphens w:val="true"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bCs w:val="false"/>
          <w:sz w:val="28"/>
          <w:szCs w:val="28"/>
        </w:rPr>
      </w:pPr>
      <w:r>
        <w:rPr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Цель:</w:t>
      </w:r>
      <w:r>
        <w:rPr>
          <w:rFonts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получить представление о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схем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lang w:val="ru-RU"/>
        </w:rPr>
        <w:t>ах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 контроля, регулирования, сигнализации, блокировки и защиты параметрами технологического контроля.</w:t>
      </w:r>
    </w:p>
    <w:p>
      <w:pPr>
        <w:pStyle w:val="Normal"/>
        <w:widowControl w:val="false"/>
        <w:shd w:val="clear" w:color="auto" w:fill="FFFFFF"/>
        <w:spacing w:lineRule="auto" w:line="360" w:before="0" w:after="0"/>
        <w:jc w:val="center"/>
        <w:rPr>
          <w:rFonts w:cs="Times New Roman"/>
          <w:i w:val="false"/>
          <w:i w:val="false"/>
          <w:caps w:val="false"/>
          <w:smallCaps w:val="false"/>
          <w:color w:val="000000"/>
          <w:spacing w:val="0"/>
        </w:rPr>
      </w:pPr>
      <w:r>
        <w:rPr>
          <w:rFonts w:cs="Times New Roman"/>
          <w:i w:val="false"/>
          <w:caps w:val="false"/>
          <w:smallCaps w:val="false"/>
          <w:color w:val="000000"/>
          <w:spacing w:val="0"/>
        </w:rPr>
      </w:r>
    </w:p>
    <w:p>
      <w:pPr>
        <w:pStyle w:val="Normal"/>
        <w:widowControl w:val="false"/>
        <w:shd w:val="clear" w:color="auto" w:fill="FFFFFF"/>
        <w:spacing w:lineRule="auto" w:line="360" w:before="0" w:after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Краткие теоретические сведения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lineRule="auto" w:line="360" w:before="0" w:after="0"/>
        <w:ind w:left="0" w:right="-17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 предприятиях находят применение разнообразные схемы сигнализации, отличающиеся числом и типом устройств, напряжением и родом тока, характером световых и звуковых сигналов. Правильно построенные схемы обеспечивают четкую сигнализацию, способствуют предотвращению аварий и несчастных случаев. </w:t>
      </w:r>
      <w:r>
        <w:rPr>
          <w:rFonts w:cs="Times New Roman" w:ascii="Times New Roman" w:hAnsi="Times New Roman"/>
          <w:i w:val="false"/>
          <w:caps w:val="false"/>
          <w:smallCaps w:val="false"/>
          <w:color w:val="000000"/>
          <w:spacing w:val="0"/>
          <w:sz w:val="28"/>
          <w:szCs w:val="28"/>
        </w:rPr>
        <w:t>Схема технологической сигнализации должна обеспечивать одновременную подачу светового и звукового сигналов; съем звукового сигнала (нажатием кнопочного выключателя); повторность срабатывания исполнительного устройства звуковой сигнализации (при вторичном отклонении параметра) после его отключения нажатием кнопочного выключателя; проверку исполнительных устройств сигнализаторов (световых и звуковых) от одного кнопочного выключателя. Надежность схемы сигнализации можно повысить, использовав две параллельно включенные лампы для сигнализации об одном параметре. В этом случае нет большой необходимости в цепи поверки ламп.</w:t>
      </w:r>
      <w:r>
        <w:rPr>
          <w:rStyle w:val="Style14"/>
          <w:rFonts w:cs="Times New Roman" w:ascii="Times New Roman" w:hAnsi="Times New Roman"/>
          <w:i w:val="false"/>
          <w:caps w:val="false"/>
          <w:smallCaps w:val="false"/>
          <w:color w:val="000000"/>
          <w:spacing w:val="0"/>
          <w:sz w:val="28"/>
          <w:szCs w:val="28"/>
        </w:rPr>
        <w:footnoteReference w:id="2"/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ind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ind w:right="-144" w:firstLine="709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Ответьте на вопросы:</w:t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ind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Какие с</w:t>
      </w:r>
      <w:r>
        <w:rPr>
          <w:rFonts w:ascii="Times New Roman" w:hAnsi="Times New Roman"/>
          <w:color w:val="000000"/>
          <w:kern w:val="2"/>
          <w:sz w:val="28"/>
          <w:szCs w:val="28"/>
        </w:rPr>
        <w:t>истемы являются системами автоматического контроля?</w:t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ind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2. Какую информацию собирают систенмы автоматического контроля?</w:t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ind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3. Как повысить надежность системы сигнализации?</w:t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ind w:right="-14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4. Прочитайте схемы, представленные ниже:</w:t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ind w:right="-144" w:firstLine="709"/>
        <w:jc w:val="both"/>
        <w:rPr>
          <w:color w:val="000000"/>
          <w:kern w:val="2"/>
        </w:rPr>
      </w:pPr>
      <w:r>
        <w:rPr>
          <w:color w:val="000000"/>
          <w:kern w:val="2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ind w:right="-144" w:firstLine="709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2"/>
          <w:sz w:val="28"/>
          <w:szCs w:val="28"/>
        </w:rPr>
        <w:t>Схема 1.</w:t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ind w:right="-144" w:firstLine="709"/>
        <w:jc w:val="both"/>
        <w:rPr>
          <w:rFonts w:ascii="Times New Roman" w:hAnsi="Times New Roman"/>
          <w:sz w:val="28"/>
          <w:szCs w:val="28"/>
        </w:rPr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394.55pt;height:168.75pt;mso-wrap-distance-right:0pt" filled="f" o:ole="">
            <v:imagedata r:id="rId3" o:title=""/>
          </v:shape>
          <o:OLEObject Type="Embed" ProgID="" ShapeID="ole_rId2" DrawAspect="Content" ObjectID="_1122382429" r:id="rId2"/>
        </w:object>
      </w:r>
      <w:r>
        <w:rPr>
          <w:rStyle w:val="Style14"/>
          <w:rFonts w:ascii="Times New Roman" w:hAnsi="Times New Roman"/>
          <w:sz w:val="28"/>
          <w:szCs w:val="28"/>
        </w:rPr>
        <w:footnoteReference w:id="3"/>
      </w:r>
    </w:p>
    <w:p>
      <w:pPr>
        <w:pStyle w:val="Normal"/>
        <w:tabs>
          <w:tab w:val="clear" w:pos="708"/>
          <w:tab w:val="left" w:pos="0" w:leader="none"/>
        </w:tabs>
        <w:spacing w:lineRule="auto" w:line="240" w:before="0" w:after="0"/>
        <w:ind w:right="-144" w:firstLine="709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Схема 2.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both"/>
        <w:rPr>
          <w:rFonts w:cs="Times New Roman"/>
          <w:i w:val="false"/>
          <w:i w:val="false"/>
          <w:caps w:val="false"/>
          <w:smallCaps w:val="false"/>
          <w:color w:val="000000"/>
          <w:spacing w:val="0"/>
        </w:rPr>
      </w:pPr>
      <w:r>
        <w:rPr>
          <w:rFonts w:cs="Times New Roman"/>
          <w:i w:val="false"/>
          <w:caps w:val="false"/>
          <w:smallCaps w:val="false"/>
          <w:color w:val="000000"/>
          <w:spacing w:val="0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cs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</w:rPr>
      </w:pPr>
      <w:r>
        <w:rPr/>
        <w:object>
          <v:shapetype id="_x0000_tole_rId4" coordsize="21600,21600" o:spt="ole_rId4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4" type="_x0000_tole_rId4" style="width:372.65pt;height:148.05pt;mso-wrap-distance-right:0pt" filled="f" o:ole="">
            <v:imagedata r:id="rId5" o:title=""/>
          </v:shape>
          <o:OLEObject Type="Embed" ProgID="" ShapeID="ole_rId4" DrawAspect="Content" ObjectID="_401955863" r:id="rId4"/>
        </w:object>
      </w:r>
      <w:r>
        <w:rPr>
          <w:rStyle w:val="Style14"/>
          <w:rFonts w:cs="Times New Roman"/>
          <w:b w:val="false"/>
          <w:i w:val="false"/>
          <w:caps w:val="false"/>
          <w:smallCaps w:val="false"/>
          <w:color w:val="000000"/>
          <w:spacing w:val="0"/>
        </w:rPr>
        <w:footnoteReference w:id="4"/>
      </w:r>
    </w:p>
    <w:p>
      <w:pPr>
        <w:pStyle w:val="1"/>
        <w:numPr>
          <w:ilvl w:val="0"/>
          <w:numId w:val="0"/>
        </w:numPr>
        <w:ind w:left="1069" w:hanging="0"/>
        <w:rPr/>
      </w:pPr>
      <w:bookmarkStart w:id="0" w:name="_Неотъемлемой_составляющей_развития"/>
      <w:bookmarkEnd w:id="0"/>
      <w:r>
        <w:rPr/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1. Клюев А.С., Клюев С.А. Проектирование систем автоматизации/ Под ред. А. С. Клюева. – М.: ИСПО – Сервис, 2002.</w:t>
      </w:r>
    </w:p>
    <w:p>
      <w:pPr>
        <w:pStyle w:val="Normal"/>
        <w:widowControl/>
        <w:bidi w:val="0"/>
        <w:spacing w:lineRule="auto" w:line="360" w:before="0" w:after="0"/>
        <w:ind w:left="0" w:right="0" w:firstLine="680"/>
        <w:jc w:val="both"/>
        <w:rPr/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2. Правила выполнения рабочей документации автоматизации технологических процессов. ГОСТ 21.408 –93 – Офиц. изд. – М.: Изд-во стандартов, 2002.</w:t>
      </w:r>
    </w:p>
    <w:sectPr>
      <w:footerReference w:type="default" r:id="rId6"/>
      <w:footnotePr>
        <w:numFmt w:val="decimal"/>
      </w:footnotePr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55577226"/>
    </w:sdtPr>
    <w:sdtContent>
      <w:p>
        <w:pPr>
          <w:pStyle w:val="Style3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2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7"/>
        <w:rPr/>
      </w:pPr>
      <w:r>
        <w:rPr>
          <w:rStyle w:val="Style19"/>
        </w:rPr>
        <w:footnoteRef/>
      </w:r>
      <w:r>
        <w:rPr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  <w:footnote w:id="3">
    <w:p>
      <w:pPr>
        <w:pStyle w:val="Style27"/>
        <w:rPr/>
      </w:pPr>
      <w:r>
        <w:rPr>
          <w:rStyle w:val="Style19"/>
        </w:rPr>
        <w:footnoteRef/>
      </w:r>
      <w:r>
        <w:rPr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  <w:footnote w:id="4">
    <w:p>
      <w:pPr>
        <w:pStyle w:val="Style27"/>
        <w:rPr/>
      </w:pPr>
      <w:r>
        <w:rPr>
          <w:rStyle w:val="Style19"/>
        </w:rPr>
        <w:footnoteRef/>
      </w:r>
      <w:r>
        <w:rPr/>
        <w:t xml:space="preserve">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Клюев А.С., Клюев С.А. Проектирование систем автоматизации/ Под ред. А. С. Клюева. – М.: ИСПО – Сервис, 2002.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7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oleObject" Target="embeddings/oleObject2.bin"/><Relationship Id="rId5" Type="http://schemas.openxmlformats.org/officeDocument/2006/relationships/image" Target="media/image2.wmf"/><Relationship Id="rId6" Type="http://schemas.openxmlformats.org/officeDocument/2006/relationships/footer" Target="footer1.xml"/><Relationship Id="rId7" Type="http://schemas.openxmlformats.org/officeDocument/2006/relationships/footnotes" Target="footnotes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Application>LibreOffice/7.4.0.3$Windows_X86_64 LibreOffice_project/f85e47c08ddd19c015c0114a68350214f7066f5a</Application>
  <AppVersion>15.0000</AppVersion>
  <Pages>3</Pages>
  <Words>292</Words>
  <Characters>2173</Characters>
  <CharactersWithSpaces>2448</CharactersWithSpaces>
  <Paragraphs>30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2022-11-13T14:55:33Z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